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54517" w14:textId="7DBEA42D" w:rsidR="00FD37F6" w:rsidRPr="006E109C" w:rsidRDefault="00246D29" w:rsidP="00FD37F6">
      <w:pPr>
        <w:tabs>
          <w:tab w:val="left" w:pos="9708"/>
          <w:tab w:val="center" w:pos="11160"/>
        </w:tabs>
        <w:spacing w:after="0" w:line="240" w:lineRule="auto"/>
        <w:ind w:left="6840" w:firstLine="90"/>
        <w:jc w:val="right"/>
        <w:rPr>
          <w:rFonts w:ascii="GHEA Grapalat" w:hAnsi="GHEA Grapalat"/>
          <w:b/>
          <w:sz w:val="24"/>
          <w:lang w:val="pt-BR"/>
        </w:rPr>
      </w:pPr>
      <w:bookmarkStart w:id="0" w:name="_Hlk158904569"/>
      <w:r w:rsidRPr="00246D29">
        <w:rPr>
          <w:rFonts w:ascii="GHEA Grapalat" w:hAnsi="GHEA Grapalat"/>
          <w:b/>
          <w:sz w:val="24"/>
        </w:rPr>
        <w:t>ПРИЛОЖЕНИЯ 1</w:t>
      </w:r>
    </w:p>
    <w:p w14:paraId="215C7390" w14:textId="77777777" w:rsidR="00FD37F6" w:rsidRDefault="00FD37F6" w:rsidP="00FD37F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1" w:name="_Hlk158904611"/>
      <w:bookmarkEnd w:id="0"/>
    </w:p>
    <w:bookmarkEnd w:id="1"/>
    <w:p w14:paraId="03C196B1" w14:textId="77777777" w:rsidR="00246D29" w:rsidRDefault="00246D29" w:rsidP="00246D29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34D2">
        <w:rPr>
          <w:rFonts w:ascii="GHEA Grapalat" w:hAnsi="GHEA Grapalat"/>
          <w:b/>
          <w:sz w:val="24"/>
          <w:szCs w:val="24"/>
          <w:lang w:val="hy-AM"/>
        </w:rPr>
        <w:t>ТЕХНИЧЕСКИЕ ХАРАКТЕРИСТИКИ</w:t>
      </w:r>
    </w:p>
    <w:p w14:paraId="34BEBE5F" w14:textId="77777777" w:rsidR="00246D29" w:rsidRPr="005B3147" w:rsidRDefault="00246D29" w:rsidP="00246D29">
      <w:pPr>
        <w:spacing w:after="0" w:line="240" w:lineRule="auto"/>
        <w:ind w:firstLine="708"/>
        <w:jc w:val="both"/>
        <w:rPr>
          <w:rFonts w:ascii="GHEA Grapalat" w:hAnsi="GHEA Grapalat"/>
          <w:color w:val="BF8F00" w:themeColor="accent4" w:themeShade="BF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 w:cs="Arial"/>
          <w:sz w:val="24"/>
          <w:szCs w:val="24"/>
          <w:lang w:val="hy-AM"/>
        </w:rPr>
        <w:t>Анализ финансовой осуществимости, жизнеспособности и инвестиционных возможностей.</w:t>
      </w:r>
    </w:p>
    <w:p w14:paraId="149A1396" w14:textId="77777777" w:rsidR="00246D29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14:paraId="75EE297F" w14:textId="77777777" w:rsidR="00246D29" w:rsidRPr="00BF53FC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shd w:val="clear" w:color="auto" w:fill="FFFFFF"/>
          <w:lang w:val="ru-RU"/>
        </w:rPr>
      </w:pPr>
      <w:r w:rsidRPr="005B3147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 xml:space="preserve">1. </w:t>
      </w:r>
      <w:r w:rsidRPr="00AE0962">
        <w:rPr>
          <w:rFonts w:ascii="GHEA Grapalat" w:hAnsi="GHEA Grapalat"/>
          <w:b/>
          <w:bCs/>
          <w:sz w:val="24"/>
          <w:szCs w:val="24"/>
          <w:shd w:val="clear" w:color="auto" w:fill="FFFFFF"/>
          <w:lang w:val="ru-RU"/>
        </w:rPr>
        <w:t>Вв</w:t>
      </w:r>
      <w:r w:rsidRPr="00BF53FC">
        <w:rPr>
          <w:rFonts w:ascii="GHEA Grapalat" w:hAnsi="GHEA Grapalat"/>
          <w:b/>
          <w:bCs/>
          <w:sz w:val="24"/>
          <w:szCs w:val="24"/>
          <w:shd w:val="clear" w:color="auto" w:fill="FFFFFF"/>
          <w:lang w:val="ru-RU"/>
        </w:rPr>
        <w:t>едения</w:t>
      </w:r>
    </w:p>
    <w:p w14:paraId="4CBADC54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Правительство Республики Армения (далее — «Правительство») инициировало проектирование, строительство и развитие проекта «Академический городок».</w:t>
      </w:r>
    </w:p>
    <w:p w14:paraId="37A371A3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Целью настоящего Технического задания (ТЗ) является привлечение консалтинговых услуг для комплексного анализа финансовой осуществимости, жизнеспособности и инвестиционных возможностей крупномасштабного проекта развития образовательной и вспомогательной инфраструктуры в Армении.</w:t>
      </w:r>
    </w:p>
    <w:p w14:paraId="144B3C01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Выбранный консультант будет выполнять следующие задачи:</w:t>
      </w:r>
    </w:p>
    <w:p w14:paraId="2549B846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Оценить стоимость проекта</w:t>
      </w:r>
    </w:p>
    <w:p w14:paraId="182F1AF7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Анализ потенциальных вариантов дохода</w:t>
      </w:r>
    </w:p>
    <w:p w14:paraId="622A3EC9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Изучите структуры финансирования</w:t>
      </w:r>
    </w:p>
    <w:p w14:paraId="09B782AF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Проводить тщательную оценку финансовой жизнеспособности (включая NPV, IRR, срок окупаемости, DSCR, а также анализ чувствительности и сценариев)</w:t>
      </w:r>
    </w:p>
    <w:p w14:paraId="601D28FF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Представить стратегические инвестиционные рекомендации, соответствующие целям устойчивого развития</w:t>
      </w:r>
    </w:p>
    <w:p w14:paraId="59BAAC08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Все анализы должны включать в себя важные компоненты устойчивости и восстановления, уделяя особое внимание энергоэффективности, адаптации к изменению климата и минимальному воздействию на окружающую среду.</w:t>
      </w:r>
    </w:p>
    <w:p w14:paraId="6966903C" w14:textId="77777777" w:rsidR="00246D29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14:paraId="1EB84C21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  <w:r w:rsidRPr="005B3147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 xml:space="preserve">2. </w:t>
      </w:r>
      <w:r w:rsidRPr="00225E2A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>Цели</w:t>
      </w:r>
    </w:p>
    <w:p w14:paraId="1F4D4AE8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Основными целями консультации являются:</w:t>
      </w:r>
    </w:p>
    <w:p w14:paraId="733F739B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Провести детальную оценку стоимости</w:t>
      </w:r>
    </w:p>
    <w:p w14:paraId="6442EC87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Рассчитайте капитальные затраты (CAPEX), эксплуатационные расходы (OPEX) и общие затраты жизненного цикла.</w:t>
      </w:r>
    </w:p>
    <w:p w14:paraId="7678F48B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Разработка моделей доходов и оценок финансовой осуществимости</w:t>
      </w:r>
    </w:p>
    <w:p w14:paraId="194A8238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Проанализируйте динамику развития доходов и финансовую жизнеспособность на каждом этапе проекта.</w:t>
      </w:r>
    </w:p>
    <w:p w14:paraId="5A724C6C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Провести комплексный анализ финансовой жизнеспособности</w:t>
      </w:r>
    </w:p>
    <w:p w14:paraId="6DEAC045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Применяйте стандартные финансовые показатели (NPV, IRR, срок окупаемости, DSCR) и сценарный анализ для оценки прибыльности проекта в различных рыночных условиях.</w:t>
      </w:r>
    </w:p>
    <w:p w14:paraId="61DF0CA1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Оценить варианты финансирования и предложить устойчивые инвестиционные стратегии</w:t>
      </w:r>
    </w:p>
    <w:p w14:paraId="44F4562D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Определить диверсифицированные механизмы финансирования (государственно-частное партнерство, гранты, смешанное финансирование, «зеленое» финансирование и т. д.).</w:t>
      </w:r>
    </w:p>
    <w:p w14:paraId="6C9AE672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Определите финансовые риски и предложите меры по их снижению</w:t>
      </w:r>
    </w:p>
    <w:p w14:paraId="0D87850D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Анализируйте валютные курсы, политические/нормативные риски, риски роста затрат и операционные риски и предлагайте решения.</w:t>
      </w:r>
    </w:p>
    <w:p w14:paraId="2307EAEA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Представление инвестиционных предложений в соответствии с критериями ESG</w:t>
      </w:r>
    </w:p>
    <w:p w14:paraId="01CBC66A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lastRenderedPageBreak/>
        <w:t>Интеграция экологических, социальных и управленческих (ESG) критериев для привлечения ответственных и влиятельных инвесторов.</w:t>
      </w:r>
    </w:p>
    <w:p w14:paraId="018774DA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449A8658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  <w:r w:rsidRPr="005B3147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 xml:space="preserve">3. </w:t>
      </w:r>
      <w:r w:rsidRPr="00225E2A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>Объем работ</w:t>
      </w:r>
    </w:p>
    <w:p w14:paraId="7720C2D0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Консультант будет выполнять следующие функции:</w:t>
      </w:r>
    </w:p>
    <w:p w14:paraId="3EDEA564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А. Оценка стоимости</w:t>
      </w:r>
    </w:p>
    <w:p w14:paraId="7E7BC2AB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Анализируйте инфраструктуру, объекты и эксплуатационные расходы, включая расчеты инфляции и страхования рисков.</w:t>
      </w:r>
    </w:p>
    <w:p w14:paraId="6CE8160D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Сотрудничайте со специалистами по архитектуре, транспорту и стратегическому планированию для уточнения переменных затрат.</w:t>
      </w:r>
    </w:p>
    <w:p w14:paraId="1EA2DB59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Проведите анализ затрат на протяжении жизненного цикла (техническое обслуживание, эксплуатационные расходы, амортизация).</w:t>
      </w:r>
    </w:p>
    <w:p w14:paraId="68C5AB17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Разработать подробную смету расходов по следующим направлениям:</w:t>
      </w:r>
    </w:p>
    <w:p w14:paraId="02416F52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Работы по очистке и подготовке территории</w:t>
      </w:r>
    </w:p>
    <w:p w14:paraId="235847BA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Строительство образовательных, жилых, досуговых, развлекательных и коммерческих объектов</w:t>
      </w:r>
    </w:p>
    <w:p w14:paraId="0CC46120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Городская инфраструктура (парки, зеленые зоны, климатоустойчивые сооружения)</w:t>
      </w:r>
    </w:p>
    <w:p w14:paraId="64CEB5BB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Транспортная и железнодорожная инфраструктура</w:t>
      </w:r>
    </w:p>
    <w:p w14:paraId="691EAE1C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Специализированные объекты (центр обработки данных искусственного интеллекта, стадион, инновационные центры и т. д.)</w:t>
      </w:r>
    </w:p>
    <w:p w14:paraId="590A4695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Консультационные услуги и нестроительные расходы</w:t>
      </w:r>
    </w:p>
    <w:p w14:paraId="7A4296DF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B. Возможности получения дохода и финансовое моделирование</w:t>
      </w:r>
    </w:p>
    <w:p w14:paraId="67A2D38F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Разработать модели доходов на основе поэтапной реализации проекта.</w:t>
      </w:r>
    </w:p>
    <w:p w14:paraId="6C9AFA2D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Проведите анализ развития доходов на первом этапе, чтобы обеспечить стабильную финансовую основу.</w:t>
      </w:r>
    </w:p>
    <w:p w14:paraId="107C7966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Проанализируйте модели государственно-частного партнерства (ГЧП), механизмы повышения стоимости земли, схемы аренды и источники доходов на основе цифровой экономики.</w:t>
      </w:r>
    </w:p>
    <w:p w14:paraId="124A0B02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Изучить потенциальный доход от представленной недвижимости, который будет передан в Фонд «Академгородок».</w:t>
      </w:r>
    </w:p>
    <w:p w14:paraId="3D95141C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Изучите стимулы, связанные с ESG, и инновационные механизмы получения доходов.</w:t>
      </w:r>
    </w:p>
    <w:p w14:paraId="1B313B7C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C. Структуры и механизмы финансирования</w:t>
      </w:r>
    </w:p>
    <w:p w14:paraId="4AC3B832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ru-RU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Оцените различные источники финансирования (гранты, займы, государственное финансирование, венчурный капитал, инфраструктурные облигации)</w:t>
      </w:r>
      <w:r w:rsidRPr="00225E2A">
        <w:rPr>
          <w:rFonts w:ascii="GHEA Grapalat" w:hAnsi="GHEA Grapalat"/>
          <w:sz w:val="24"/>
          <w:szCs w:val="24"/>
          <w:shd w:val="clear" w:color="auto" w:fill="FFFFFF"/>
          <w:lang w:val="ru-RU"/>
        </w:rPr>
        <w:t>.</w:t>
      </w:r>
    </w:p>
    <w:p w14:paraId="517E4030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Предложить сбалансированные структуры финансирования, сочетающие государственные и частные инвестиции.</w:t>
      </w:r>
    </w:p>
    <w:p w14:paraId="73714C19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Представление финансовых прогнозов с учетом макроэкономических и демографических тенденций.</w:t>
      </w:r>
    </w:p>
    <w:p w14:paraId="5C81530A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Рекомендовать стратегии по оптимизации затрат, снижению рисков и повышению финансовой привлекательности (например, кредитные гарантии, финансовое страхование).</w:t>
      </w:r>
    </w:p>
    <w:p w14:paraId="685B9F7D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Определите варианты устойчивого финансирования (зеленое финансирование, смешанное финансирование и т. д.).</w:t>
      </w:r>
    </w:p>
    <w:p w14:paraId="1E027E17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60ABFF9C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D. Финансовая жизнеспособность и анализ сценариев</w:t>
      </w:r>
    </w:p>
    <w:p w14:paraId="4179F9E9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lastRenderedPageBreak/>
        <w:t>Финансовые коэффициенты — рассчитайте чистую приведенную стоимость (NPV), внутреннюю норму доходности (IRR), срок окупаемости, коэффициент покрытия обслуживания долга (DSCR) и другие соответствующие финансовые коэффициенты.</w:t>
      </w:r>
    </w:p>
    <w:p w14:paraId="7F752B3E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Анализ сценариев и чувствительности. Изучите влияние изменений рынка (например, колебаний спроса, перерасхода средств на строительство, макроэкономических сдвигов, изменений в регулировании, снижения доходов) на финансовые результаты проекта.</w:t>
      </w:r>
    </w:p>
    <w:p w14:paraId="4D08F44A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Анализ безубыточности. Рассчитайте минимальные пороговые значения выручки, необходимые для обеспечения прибыльности на каждом этапе.</w:t>
      </w:r>
    </w:p>
    <w:p w14:paraId="6B90A401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Инвестиционная привлекательность. Проанализируйте финансовую привлекательность проекта с точки зрения коммерческих кредиторов, институциональных инвесторов и других заинтересованных сторон.</w:t>
      </w:r>
    </w:p>
    <w:p w14:paraId="26F0B480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7B4948F8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  <w:r w:rsidRPr="005B3147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 xml:space="preserve">4. </w:t>
      </w:r>
      <w:r w:rsidRPr="00225E2A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>Результаты</w:t>
      </w:r>
      <w:r w:rsidRPr="005B3147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 xml:space="preserve"> </w:t>
      </w:r>
    </w:p>
    <w:p w14:paraId="45815452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Подробный отчет о смете расходов – (срок: 2 месяца после подписания контракта)</w:t>
      </w:r>
    </w:p>
    <w:p w14:paraId="0D8C9BF1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Включая анализ чувствительности и сравнительный анализ с соответствующими эквивалентными проектами.</w:t>
      </w:r>
    </w:p>
    <w:p w14:paraId="66473155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Подробная смета расходов на первый этап (срок: 2 месяца после подписания договора)</w:t>
      </w:r>
    </w:p>
    <w:p w14:paraId="543C8057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Более глубокое распределение для финансового планирования и контроля затрат.</w:t>
      </w:r>
    </w:p>
    <w:p w14:paraId="30146A1D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Финансовое обоснование (срок: 3 месяца после подписания контракта)</w:t>
      </w:r>
    </w:p>
    <w:p w14:paraId="1A37B294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Комплексное финансовое моделирование с поэтапным анализом, включая все капитальные и эксплуатационные затраты, прогнозы доходов и факторы устойчивого развития.</w:t>
      </w:r>
    </w:p>
    <w:p w14:paraId="65CA9BA6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Он должен включать раздел о финансовой жизнеспособности (см. следующий пункт).</w:t>
      </w:r>
    </w:p>
    <w:p w14:paraId="28C21EE0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Отчет об анализе финансовой жизнеспособности и сценария (срок: 4 месяца после подписания контракта)</w:t>
      </w:r>
    </w:p>
    <w:p w14:paraId="3A273C9C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Подробные расчеты NPV, IRR, срока окупаемости, DSCR и других важных показателей жизнеспособности.</w:t>
      </w:r>
    </w:p>
    <w:p w14:paraId="0E4D0038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По крайней мере три анализа сценариев (например, базовый, пессимистический и оптимистический сценарии).</w:t>
      </w:r>
    </w:p>
    <w:p w14:paraId="3B0E2C20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Четкие выводы о рентабельности и инвестиционной привлекательности проекта.</w:t>
      </w:r>
    </w:p>
    <w:p w14:paraId="29BFA1EA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Инвестиционная стратегия и план привлечения инвесторов (срок: 5 месяцев после подписания договора)</w:t>
      </w:r>
    </w:p>
    <w:p w14:paraId="37B36321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Соответствует критериям ESG и Целям устойчивого развития (ЦУР).</w:t>
      </w:r>
    </w:p>
    <w:p w14:paraId="77EEA9A6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Ключевые сообщения и материалы для привлечения инвесторов (институциональных, импакт- и частных).</w:t>
      </w:r>
    </w:p>
    <w:p w14:paraId="19EF3C25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Сравнительная матрица вариантов финансирования (срок: 5 месяцев после подписания договора)</w:t>
      </w:r>
    </w:p>
    <w:p w14:paraId="09E30E38" w14:textId="77777777" w:rsidR="00246D29" w:rsidRPr="00225E2A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Подробные профили риска и доходности различных структур финансирования и инвестиционных механизмов.</w:t>
      </w:r>
    </w:p>
    <w:p w14:paraId="66A5255A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Рекомендации по окончательной стратегии финансирования на основе стоимости капитала, осуществимости, готовности к риску и требований ESG (экологическая, социальная ответственность и корпоративное управление).</w:t>
      </w:r>
    </w:p>
    <w:p w14:paraId="6896D193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7CF2D31C" w14:textId="77777777" w:rsidR="00246D29" w:rsidRPr="005B3147" w:rsidRDefault="00246D29" w:rsidP="00246D29">
      <w:pPr>
        <w:tabs>
          <w:tab w:val="left" w:pos="9708"/>
          <w:tab w:val="center" w:pos="11160"/>
        </w:tabs>
        <w:spacing w:after="0" w:line="240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  <w:r w:rsidRPr="005B3147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 xml:space="preserve">5. </w:t>
      </w:r>
      <w:r w:rsidRPr="00225E2A"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  <w:t>Ожидаемая продолжительность задания: 5 месяцев</w:t>
      </w:r>
    </w:p>
    <w:p w14:paraId="0A99C9CB" w14:textId="77777777" w:rsidR="00246D29" w:rsidRPr="00225E2A" w:rsidRDefault="00246D29" w:rsidP="00246D29">
      <w:pPr>
        <w:tabs>
          <w:tab w:val="left" w:pos="1965"/>
        </w:tabs>
        <w:spacing w:after="0"/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t>Язык результатов:</w:t>
      </w:r>
    </w:p>
    <w:p w14:paraId="48DF2485" w14:textId="77777777" w:rsidR="00246D29" w:rsidRPr="00225E2A" w:rsidRDefault="00246D29" w:rsidP="00246D29">
      <w:pPr>
        <w:tabs>
          <w:tab w:val="left" w:pos="1965"/>
        </w:tabs>
        <w:ind w:firstLine="630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  <w:r w:rsidRPr="00225E2A">
        <w:rPr>
          <w:rFonts w:ascii="GHEA Grapalat" w:hAnsi="GHEA Grapalat"/>
          <w:sz w:val="24"/>
          <w:szCs w:val="24"/>
          <w:shd w:val="clear" w:color="auto" w:fill="FFFFFF"/>
          <w:lang w:val="hy-AM"/>
        </w:rPr>
        <w:lastRenderedPageBreak/>
        <w:t>Все результаты должны быть предоставлены на армянском и английском языках, чтобы обеспечить доступность для местных и международных заинтересованных сторон. Консультант несет ответственность за обеспечение согласованности и точности версий на двух языках.</w:t>
      </w:r>
    </w:p>
    <w:p w14:paraId="12EB8710" w14:textId="20FF7894" w:rsidR="00D05EEE" w:rsidRDefault="00D05EEE" w:rsidP="00FD37F6">
      <w:pPr>
        <w:ind w:firstLine="63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55B8DBA3" w14:textId="2FCED0CF" w:rsidR="00FD37F6" w:rsidRPr="00FD37F6" w:rsidRDefault="00FD37F6" w:rsidP="00FD37F6">
      <w:pPr>
        <w:jc w:val="both"/>
        <w:rPr>
          <w:rFonts w:ascii="GHEA Grapalat" w:hAnsi="GHEA Grapalat"/>
          <w:b/>
          <w:bCs/>
          <w:i/>
          <w:iCs/>
          <w:sz w:val="28"/>
          <w:szCs w:val="28"/>
          <w:shd w:val="clear" w:color="auto" w:fill="FFFFFF"/>
          <w:lang w:val="hy-AM"/>
        </w:rPr>
      </w:pPr>
    </w:p>
    <w:p w14:paraId="2C2D71D0" w14:textId="18576569" w:rsidR="00FD37F6" w:rsidRPr="00FD37F6" w:rsidRDefault="00246D29" w:rsidP="00FD37F6">
      <w:pPr>
        <w:jc w:val="both"/>
        <w:rPr>
          <w:b/>
          <w:bCs/>
          <w:i/>
          <w:iCs/>
          <w:sz w:val="24"/>
          <w:szCs w:val="24"/>
          <w:lang w:val="hy-AM"/>
        </w:rPr>
      </w:pPr>
      <w:r w:rsidRPr="00246D29">
        <w:rPr>
          <w:rFonts w:ascii="GHEA Grapalat" w:hAnsi="GHEA Grapalat"/>
          <w:b/>
          <w:bCs/>
          <w:i/>
          <w:iCs/>
          <w:sz w:val="28"/>
          <w:szCs w:val="28"/>
          <w:shd w:val="clear" w:color="auto" w:fill="FFFFFF"/>
          <w:lang w:val="hy-AM"/>
        </w:rPr>
        <w:t>Компания должна быть включена в список четырех аудиторских фирм, доминирующих на мировом рынке аудита: «Большую четверку».</w:t>
      </w:r>
    </w:p>
    <w:sectPr w:rsidR="00FD37F6" w:rsidRPr="00FD37F6" w:rsidSect="00FD37F6">
      <w:pgSz w:w="11906" w:h="16838"/>
      <w:pgMar w:top="630" w:right="1080" w:bottom="63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F6"/>
    <w:rsid w:val="00246D29"/>
    <w:rsid w:val="00D05EEE"/>
    <w:rsid w:val="00FD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DF86B"/>
  <w15:chartTrackingRefBased/>
  <w15:docId w15:val="{36733F99-7F08-4377-9E30-407C0F57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7F6"/>
    <w:pPr>
      <w:spacing w:after="200" w:line="276" w:lineRule="auto"/>
      <w:jc w:val="left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1117</Words>
  <Characters>6371</Characters>
  <Application>Microsoft Office Word</Application>
  <DocSecurity>0</DocSecurity>
  <Lines>53</Lines>
  <Paragraphs>14</Paragraphs>
  <ScaleCrop>false</ScaleCrop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Hasmik Gulabyan</cp:lastModifiedBy>
  <cp:revision>2</cp:revision>
  <dcterms:created xsi:type="dcterms:W3CDTF">2025-05-27T14:59:00Z</dcterms:created>
  <dcterms:modified xsi:type="dcterms:W3CDTF">2025-05-27T15:04:00Z</dcterms:modified>
</cp:coreProperties>
</file>